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9D8" w:rsidRPr="00A639D8" w:rsidRDefault="00A639D8" w:rsidP="00A639D8">
      <w:pPr>
        <w:pStyle w:val="NormalWeb"/>
        <w:shd w:val="clear" w:color="auto" w:fill="F4F4F4"/>
        <w:spacing w:before="0" w:beforeAutospacing="0" w:after="240" w:afterAutospacing="0"/>
        <w:rPr>
          <w:color w:val="000000"/>
        </w:rPr>
      </w:pPr>
      <w:r w:rsidRPr="00A639D8">
        <w:rPr>
          <w:color w:val="000000"/>
        </w:rPr>
        <w:t>You will research and write two Legal Memos. Both Memo's should be completed in 1 MS Word Document and they will be due</w:t>
      </w:r>
      <w:r w:rsidR="009D722E">
        <w:rPr>
          <w:color w:val="000000"/>
        </w:rPr>
        <w:t xml:space="preserve"> 5/1/2020</w:t>
      </w:r>
      <w:bookmarkStart w:id="0" w:name="_GoBack"/>
      <w:bookmarkEnd w:id="0"/>
      <w:r w:rsidRPr="00A639D8">
        <w:rPr>
          <w:color w:val="000000"/>
        </w:rPr>
        <w:t>.  Please see the attached memo instructions and sample memo for further guidance.  </w:t>
      </w:r>
    </w:p>
    <w:p w:rsidR="00A639D8" w:rsidRPr="00A639D8" w:rsidRDefault="00A639D8" w:rsidP="00A639D8">
      <w:pPr>
        <w:pStyle w:val="NormalWeb"/>
        <w:shd w:val="clear" w:color="auto" w:fill="F4F4F4"/>
        <w:spacing w:before="0" w:beforeAutospacing="0" w:after="0" w:afterAutospacing="0"/>
        <w:rPr>
          <w:color w:val="000000"/>
        </w:rPr>
      </w:pPr>
      <w:r w:rsidRPr="00A639D8">
        <w:rPr>
          <w:rStyle w:val="Strong"/>
          <w:color w:val="000000"/>
          <w:u w:val="single"/>
          <w:bdr w:val="none" w:sz="0" w:space="0" w:color="auto" w:frame="1"/>
        </w:rPr>
        <w:t>Other Tips:</w:t>
      </w:r>
    </w:p>
    <w:p w:rsidR="00A639D8" w:rsidRPr="00A639D8" w:rsidRDefault="00A639D8" w:rsidP="00A639D8">
      <w:pPr>
        <w:pStyle w:val="NormalWeb"/>
        <w:shd w:val="clear" w:color="auto" w:fill="F4F4F4"/>
        <w:spacing w:before="0" w:beforeAutospacing="0" w:after="240" w:afterAutospacing="0"/>
        <w:rPr>
          <w:color w:val="000000"/>
        </w:rPr>
      </w:pPr>
      <w:r w:rsidRPr="00A639D8">
        <w:rPr>
          <w:color w:val="000000"/>
        </w:rPr>
        <w:t>1. Please do not spend time simply re-stating the facts as an introduction to your answer.  </w:t>
      </w:r>
    </w:p>
    <w:p w:rsidR="00A639D8" w:rsidRPr="00A639D8" w:rsidRDefault="00A639D8" w:rsidP="00A639D8">
      <w:pPr>
        <w:pStyle w:val="NormalWeb"/>
        <w:shd w:val="clear" w:color="auto" w:fill="F4F4F4"/>
        <w:spacing w:before="0" w:beforeAutospacing="0" w:after="240" w:afterAutospacing="0"/>
        <w:rPr>
          <w:color w:val="000000"/>
        </w:rPr>
      </w:pPr>
      <w:r w:rsidRPr="00A639D8">
        <w:rPr>
          <w:color w:val="000000"/>
        </w:rPr>
        <w:t>2. If you believe that you require any additional facts or need to make any assumptions, make sure that you identify such matters in your answer.</w:t>
      </w:r>
    </w:p>
    <w:p w:rsidR="00A639D8" w:rsidRPr="00A639D8" w:rsidRDefault="00A639D8" w:rsidP="00A639D8">
      <w:pPr>
        <w:pStyle w:val="NormalWeb"/>
        <w:shd w:val="clear" w:color="auto" w:fill="F4F4F4"/>
        <w:spacing w:before="0" w:beforeAutospacing="0" w:after="240" w:afterAutospacing="0"/>
        <w:rPr>
          <w:color w:val="000000"/>
        </w:rPr>
      </w:pPr>
      <w:r w:rsidRPr="00A639D8">
        <w:rPr>
          <w:color w:val="000000"/>
        </w:rPr>
        <w:t xml:space="preserve">3. You should address </w:t>
      </w:r>
      <w:r w:rsidR="009D722E" w:rsidRPr="00A639D8">
        <w:rPr>
          <w:color w:val="000000"/>
        </w:rPr>
        <w:t>ALL</w:t>
      </w:r>
      <w:r w:rsidRPr="00A639D8">
        <w:rPr>
          <w:color w:val="000000"/>
        </w:rPr>
        <w:t xml:space="preserve"> the issues presented by each essay scenario.  </w:t>
      </w:r>
    </w:p>
    <w:p w:rsidR="00A639D8" w:rsidRPr="00A639D8" w:rsidRDefault="00A639D8" w:rsidP="00A639D8">
      <w:pPr>
        <w:pStyle w:val="NormalWeb"/>
        <w:shd w:val="clear" w:color="auto" w:fill="F4F4F4"/>
        <w:spacing w:before="0" w:beforeAutospacing="0" w:after="240" w:afterAutospacing="0"/>
        <w:rPr>
          <w:color w:val="000000"/>
        </w:rPr>
      </w:pPr>
      <w:r w:rsidRPr="00A639D8">
        <w:rPr>
          <w:color w:val="000000"/>
        </w:rPr>
        <w:t>4. Please ORGANIZE your answers. To this effect, I strongly recommend that you spend some time outlining your answers before you begin to write. </w:t>
      </w:r>
    </w:p>
    <w:p w:rsidR="00A639D8" w:rsidRPr="00A639D8" w:rsidRDefault="00A639D8" w:rsidP="00A639D8">
      <w:pPr>
        <w:pStyle w:val="NormalWeb"/>
        <w:shd w:val="clear" w:color="auto" w:fill="F4F4F4"/>
        <w:spacing w:before="0" w:beforeAutospacing="0" w:after="0" w:afterAutospacing="0"/>
        <w:rPr>
          <w:color w:val="000000"/>
        </w:rPr>
      </w:pPr>
      <w:r w:rsidRPr="00A639D8">
        <w:rPr>
          <w:rStyle w:val="Strong"/>
          <w:color w:val="000000"/>
          <w:u w:val="single"/>
          <w:bdr w:val="none" w:sz="0" w:space="0" w:color="auto" w:frame="1"/>
        </w:rPr>
        <w:t>Torts Memo #1</w:t>
      </w:r>
    </w:p>
    <w:p w:rsidR="00A639D8" w:rsidRPr="00A639D8" w:rsidRDefault="00A639D8" w:rsidP="00A639D8">
      <w:pPr>
        <w:pStyle w:val="NormalWeb"/>
        <w:shd w:val="clear" w:color="auto" w:fill="F4F4F4"/>
        <w:spacing w:before="0" w:beforeAutospacing="0" w:after="240" w:afterAutospacing="0"/>
        <w:rPr>
          <w:color w:val="000000"/>
        </w:rPr>
      </w:pPr>
      <w:r w:rsidRPr="00A639D8">
        <w:rPr>
          <w:color w:val="000000"/>
        </w:rPr>
        <w:t xml:space="preserve">Roberto Hernandez worked for Green’s Auto Parts in Springfield, Evergreen delivering parts that customers ordered from their warehouse.  On March 23, 2014 Hernandez was told to deliver parts to Rogers Contracting to repair a Ford 150 truck located at a steel mill operated by National Steel Corp. in Springfield, where Rogers Contracting was doing work.  Hernandez drove to the steel mill and saw a Ford 150 truck with the Rogers Contracting logo on it.  Hernandez parked his car and began walking toward the truck. His path took him past a blast furnace.  Attached to the blast furnace was a dust catcher – a large, vertical structure.  Gases from the blast furnace enter the dust catcher from the top where they decelerate, causing the coarser particles to fall to the bottom of the catcher, where they collect in a funnel-shaped hopper at the bottom, while the gases flow out through a lateral outlet located in the upper portion of the catcher.  The collected dust can then be discharged from the catcher through a lock at the bottom of the hopper.  When a blast furnace is scheduled to be brought back online, the dust catcher must be emptied or “dumped,” a process which releases large amounts of carbon monoxide gas.  Carbon monoxide is a colorless, odorless, and potentially deadly gas.  Carbon monoxide attaches to the hemoglobin in red blood cells, preventing oxygen from being transported to the rest of the body.  National Steel has numerous safety procedures and requirements in place at the Springfield mill.  The person wanting to empty the dust catcher must have a face-to-face meeting with the control room operator and receive a “lockout key” and authorization to do so.  Then, there is supposed to be a visual inspection of the area near the blast furnace to check to make sure that no one is in the area, including the backside roadway.  Then, flashing lights and a siren are activated to warn people in the area that the dust catcher is going to be emptied.  Also, the operator announces over National Steel's public-address system, “dumping dust catcher” three times.  The operator is then to wait between five to seven minutes after this announcement to receive any responses that the catcher should not be dumped at that time.  Additionally, all personnel that might be exposed to carbon monoxide are issued small carbon monoxide detectors.    On March 23, 2014 the dust catcher operator verified with the control room operator that he had permission to dump the dust catcher and manually checked the area to ensure that there were no people in the immediate vicinity.  He then activated the siren and flashing lights to warn that the dust catcher was about to be dumped.  He also announced three times that the dust catcher was about to be dumped.  When he received no response, he started the procedure to dump or empty the dust catcher, which lasted from five to ten minutes and released carbon monoxide.  Unfortunately, no one from </w:t>
      </w:r>
      <w:r w:rsidRPr="00A639D8">
        <w:rPr>
          <w:color w:val="000000"/>
        </w:rPr>
        <w:lastRenderedPageBreak/>
        <w:t>Rogers Contracting had reported to the control room operator that they were expecting a delivery.  Also, the dust catcher operator’s visual inspection of the area failed to notice Hernandez. Not long after the dust catcher was dumped, Hernandez was found unconscious and despite resuscitation efforts he was pronounced dead at the scene. An autopsy revealed he had died from carbon monoxide.  You represent National Steel Corp.  A report of the accident has been forwarded to you and you have been asked to assess your client’s potential tort liability arising from Hernandez’ death as well the strengths of your client's case.  Please prepare an "objective" memo.  Hernandez left a wife of three years and no children. </w:t>
      </w:r>
    </w:p>
    <w:p w:rsidR="00A639D8" w:rsidRPr="00A639D8" w:rsidRDefault="00A639D8" w:rsidP="00A639D8">
      <w:pPr>
        <w:pStyle w:val="NormalWeb"/>
        <w:shd w:val="clear" w:color="auto" w:fill="F4F4F4"/>
        <w:spacing w:before="0" w:beforeAutospacing="0" w:after="240" w:afterAutospacing="0"/>
        <w:rPr>
          <w:color w:val="000000"/>
        </w:rPr>
      </w:pPr>
      <w:r w:rsidRPr="00A639D8">
        <w:rPr>
          <w:color w:val="000000"/>
        </w:rPr>
        <w:t>SELECTED STATUTES OF THE STATE OF EVERGREEN</w:t>
      </w:r>
      <w:r w:rsidRPr="00A639D8">
        <w:rPr>
          <w:color w:val="000000"/>
        </w:rPr>
        <w:br/>
        <w:t> </w:t>
      </w:r>
      <w:r w:rsidRPr="00A639D8">
        <w:rPr>
          <w:color w:val="000000"/>
        </w:rPr>
        <w:br/>
        <w:t>Title 3. Remedies; Special Actions and Proceedings Chapter 41. Actions and Proceedings in Particular Cases Concerning Persons Actions for Death by Wrongful Act or Neglect 41.085. Heirs and personal representatives may maintain action</w:t>
      </w:r>
      <w:r w:rsidRPr="00A639D8">
        <w:rPr>
          <w:color w:val="000000"/>
        </w:rPr>
        <w:br/>
        <w:t> </w:t>
      </w:r>
      <w:r w:rsidRPr="00A639D8">
        <w:rPr>
          <w:color w:val="000000"/>
        </w:rPr>
        <w:br/>
        <w:t>1. As used in this section, “heir” means a surviving spouse, or child, or a person who, under the laws of this State, would be entitled to succeed to the separate property of the decedent if the decedent had died intestate. The term does not include a person who is deemed to be a killer of the decedent.</w:t>
      </w:r>
      <w:r w:rsidRPr="00A639D8">
        <w:rPr>
          <w:color w:val="000000"/>
        </w:rPr>
        <w:br/>
        <w:t> </w:t>
      </w:r>
      <w:r w:rsidRPr="00A639D8">
        <w:rPr>
          <w:color w:val="000000"/>
        </w:rPr>
        <w:br/>
        <w:t>2. When the death of any person, whether or not a minor, is caused by the wrongful act or neglect of another, the heirs of the decedent and the personal representatives of the decedent may each maintain an action for damages against the person who caused the death, or if the wrongdoer is dead, against the wrongdoer’s personal representatives, whether the wrongdoer died before or after the death of the person injured by the wrongdoer. If any other person is responsible for the wrongful act or neglect, or if the wrongdoer is employed by another person who is responsible for the wrongdoer’s conduct, the action may be maintained against that other person, or if the other person is dead, against the other person’s personal representatives.</w:t>
      </w:r>
      <w:r w:rsidRPr="00A639D8">
        <w:rPr>
          <w:color w:val="000000"/>
        </w:rPr>
        <w:br/>
        <w:t> </w:t>
      </w:r>
      <w:r w:rsidRPr="00A639D8">
        <w:rPr>
          <w:color w:val="000000"/>
        </w:rPr>
        <w:br/>
        <w:t>3. An action brought by the heirs of a decedent pursuant to subsection 2 and the cause of action of that decedent brought or maintained by the decedent’s personal representatives which arose out of the same wrongful act or neglect may be joined.</w:t>
      </w:r>
      <w:r w:rsidRPr="00A639D8">
        <w:rPr>
          <w:color w:val="000000"/>
        </w:rPr>
        <w:br/>
        <w:t> </w:t>
      </w:r>
      <w:r w:rsidRPr="00A639D8">
        <w:rPr>
          <w:color w:val="000000"/>
        </w:rPr>
        <w:br/>
        <w:t>4. The heirs may prove their respective damages in the action brought pursuant to subsection 2 and the court or jury may award each person pecuniary damages for the person’s grief or sorrow, loss of probable support, companionship, society, comfort and consortium, and damages for pain, suffering or disfigurement of the decedent. The proceeds of any judgment for damages awarded under this subsection are not liable for any debt of the decedent.</w:t>
      </w:r>
      <w:r w:rsidRPr="00A639D8">
        <w:rPr>
          <w:color w:val="000000"/>
        </w:rPr>
        <w:br/>
        <w:t> </w:t>
      </w:r>
      <w:r w:rsidRPr="00A639D8">
        <w:rPr>
          <w:color w:val="000000"/>
        </w:rPr>
        <w:br/>
        <w:t>5. The damages recoverable by the personal representatives of a decedent on behalf of the decedent’s estate include:</w:t>
      </w:r>
      <w:r w:rsidRPr="00A639D8">
        <w:rPr>
          <w:color w:val="000000"/>
        </w:rPr>
        <w:br/>
        <w:t> </w:t>
      </w:r>
      <w:r w:rsidRPr="00A639D8">
        <w:rPr>
          <w:color w:val="000000"/>
        </w:rPr>
        <w:br/>
        <w:t>(a)  Any special damages, such as medical expenses, which the decedent incurred or sustained before the decedent’s death, and funeral expenses; and</w:t>
      </w:r>
      <w:r w:rsidRPr="00A639D8">
        <w:rPr>
          <w:color w:val="000000"/>
        </w:rPr>
        <w:br/>
        <w:t> </w:t>
      </w:r>
      <w:r w:rsidRPr="00A639D8">
        <w:rPr>
          <w:color w:val="000000"/>
        </w:rPr>
        <w:br/>
        <w:t xml:space="preserve">(b)  Any penalties, including, but not limited to, exemplary or punitive damages, that the decedent would have recovered if the decedent had lived, but do not include damages for pain, </w:t>
      </w:r>
      <w:r w:rsidRPr="00A639D8">
        <w:rPr>
          <w:color w:val="000000"/>
        </w:rPr>
        <w:lastRenderedPageBreak/>
        <w:t>suffering or disfigurement of the decedent. The proceeds of any judgment for damages awarded under this subsection are liable for the debts of the decedent unless exempted by law. </w:t>
      </w:r>
    </w:p>
    <w:p w:rsidR="00A639D8" w:rsidRPr="00A639D8" w:rsidRDefault="00A639D8" w:rsidP="00A639D8">
      <w:pPr>
        <w:pStyle w:val="NormalWeb"/>
        <w:shd w:val="clear" w:color="auto" w:fill="F4F4F4"/>
        <w:spacing w:before="0" w:beforeAutospacing="0" w:after="0" w:afterAutospacing="0"/>
        <w:rPr>
          <w:color w:val="000000"/>
        </w:rPr>
      </w:pPr>
      <w:r w:rsidRPr="00A639D8">
        <w:rPr>
          <w:rStyle w:val="Strong"/>
          <w:color w:val="000000"/>
          <w:u w:val="single"/>
          <w:bdr w:val="none" w:sz="0" w:space="0" w:color="auto" w:frame="1"/>
        </w:rPr>
        <w:t>Contracts Memo #2</w:t>
      </w:r>
      <w:r w:rsidRPr="00A639D8">
        <w:rPr>
          <w:color w:val="000000"/>
        </w:rPr>
        <w:t> </w:t>
      </w:r>
    </w:p>
    <w:p w:rsidR="00A639D8" w:rsidRPr="00A639D8" w:rsidRDefault="00A639D8" w:rsidP="00A639D8">
      <w:pPr>
        <w:pStyle w:val="NormalWeb"/>
        <w:shd w:val="clear" w:color="auto" w:fill="F4F4F4"/>
        <w:spacing w:before="0" w:beforeAutospacing="0" w:after="240" w:afterAutospacing="0"/>
        <w:rPr>
          <w:color w:val="000000"/>
        </w:rPr>
      </w:pPr>
      <w:r w:rsidRPr="00A639D8">
        <w:rPr>
          <w:color w:val="000000"/>
        </w:rPr>
        <w:t>Professor House recently inherited a 20-acre tract of land from his grandfather in Oklahoma.  Unknown to House, who had never visited Oklahoma, the land contained valuable coal deposits worth $500,000. The Badland Coal &amp; Mining Company, who knew about the coal deposits, and had made many unsuccessful attempts to purchase the land from House’s grandfather, had one of its agents, Jones, approach House and offer to purchase his property for $50,000. House explained to Jones that he really had no need for this land, but that he did not want to sell it until he knew the land’s market value. At this point, the Jones produced documentation previously prepared by the Badland Coal &amp; Mining Company showing that 20 acres of land in this portion of Oklahoma typically sold for about $40,000. This information was generally accurate for tracts of land that did not contain coal or other mineral deposits. When House asked Jones why he was willing to pay $50,000 for land only worth up to $40,000, Jones explained that he always fancied this particular piece of land, thought it was very beautiful, and that the additional $10,000 represented the sentimental value he attached to the land. The following conversation then took place:</w:t>
      </w:r>
      <w:r w:rsidRPr="00A639D8">
        <w:rPr>
          <w:color w:val="000000"/>
        </w:rPr>
        <w:br/>
        <w:t> </w:t>
      </w:r>
      <w:r w:rsidRPr="00A639D8">
        <w:rPr>
          <w:color w:val="000000"/>
        </w:rPr>
        <w:br/>
        <w:t>House:  Is there anything else about the land I should know about? Jones:  Like what? House:  Well, if the land had gold under it, for example, you’d tell me, right? Jones:  Of course, I’d tell you if the land had gold under it.  In fact, I promise you, if the land turns out to have gold on it, I’ll sell it back to you for the amount I paid.</w:t>
      </w:r>
      <w:r w:rsidRPr="00A639D8">
        <w:rPr>
          <w:color w:val="000000"/>
        </w:rPr>
        <w:br/>
        <w:t> </w:t>
      </w:r>
      <w:r w:rsidRPr="00A639D8">
        <w:rPr>
          <w:color w:val="000000"/>
        </w:rPr>
        <w:br/>
        <w:t>Convinced, House and Jones shook hands to seal the deal, and agreed to memorialize their agreement in writing within the next couple of days or so.  The next day, at Jones’ request, House paid $1,000 to obtain a survey and title search on his newly inherited property. Jones then took House to a local bar “to celebrate their deal,” where Jones purchased numerous alcoholic beverages for House, getting him quite drunk at one point, and finally brought House home around 4:00 a.m.  One hour later, 20 representatives from the Badland Coal &amp; Mining Company (“Badland”) showed up at House’s home, at 5:00 a.m., and asked him to sign the following writing:</w:t>
      </w:r>
      <w:r w:rsidRPr="00A639D8">
        <w:rPr>
          <w:color w:val="000000"/>
        </w:rPr>
        <w:br/>
        <w:t> </w:t>
      </w:r>
      <w:r w:rsidRPr="00A639D8">
        <w:rPr>
          <w:color w:val="000000"/>
        </w:rPr>
        <w:br/>
        <w:t>The Badland Coal &amp; Mining Company hereby agrees to pay to Professor Vance House $50,000 for his recently-inherited 20-acre tract of land in Oklahoma, and Professor Vance House hereby agrees to convey all of his land to the Badland Coal &amp; Mining Company.</w:t>
      </w:r>
      <w:r w:rsidRPr="00A639D8">
        <w:rPr>
          <w:color w:val="000000"/>
        </w:rPr>
        <w:br/>
        <w:t> </w:t>
      </w:r>
      <w:r w:rsidRPr="00A639D8">
        <w:rPr>
          <w:color w:val="000000"/>
        </w:rPr>
        <w:br/>
        <w:t xml:space="preserve">Although House was not intoxicated, he did have a bad hangover, was perplexed and confused as to the identity of the 20 representatives in his house, and had some difficulty concentrating and generally making sense of the situation. He told Badland that he already agreed to sell his house to someone named Jones, at which time Badland told him that Jones was one of its agents. Surprised by this revelation, House said he would need more time to think before signing the contract. He also thought the fact that Jones really worked for a coal and mining company was suspicious, and briefly considered the fact that Badland might be purchasing his property for natural resources, but then felt somewhat reassured when he hazily recalled his conversation with Jones about obtaining a refund if the land proved to have natural resources buried beneath its soil. Because House was taking a long time to make his decision, all of the 20 representatives for </w:t>
      </w:r>
      <w:r w:rsidRPr="00A639D8">
        <w:rPr>
          <w:color w:val="000000"/>
        </w:rPr>
        <w:lastRenderedPageBreak/>
        <w:t>Badland began to harangue him, telling him that a deal is a deal, that he had already agreed to sell his property, that he did not want to be known in the community as someone who broke his promises, and that, should he refuse to sign the papers, he would be taken to court and sued for breach of contract. </w:t>
      </w:r>
      <w:r w:rsidRPr="00A639D8">
        <w:rPr>
          <w:color w:val="000000"/>
        </w:rPr>
        <w:br/>
        <w:t> </w:t>
      </w:r>
      <w:r w:rsidRPr="00A639D8">
        <w:rPr>
          <w:color w:val="000000"/>
        </w:rPr>
        <w:br/>
        <w:t>House did not know what to do and told the representatives that he would like to get some advice from his attorney first and began to pick up his phone. One representative from Badland then slammed down the phone and said, “I wouldn’t do that if I were you.” Another representative immediately said “If you know what’s best for you, I’d sign that writing,” and opened his blazer to grab a pen from his inside pocket, which he shoved in House’s direction. When the representative opened his blazer, House thought he saw a sharp metal object tucked into the representative’s belt. A bit frightened at this point, and still confused by the entire situation, House signed the contract, and the representatives from Badland handed House a check for $50,000, and left House’s home.</w:t>
      </w:r>
      <w:r w:rsidRPr="00A639D8">
        <w:rPr>
          <w:color w:val="000000"/>
        </w:rPr>
        <w:br/>
        <w:t> </w:t>
      </w:r>
      <w:r w:rsidRPr="00A639D8">
        <w:rPr>
          <w:color w:val="000000"/>
        </w:rPr>
        <w:br/>
        <w:t>House went back to bed and, after catching up on his sleep and waking up around 5:00 p.m., he fully realized what had previously transpired. He immediately emailed Jones and told him to tell Badland that “our deal is off.”  Jones told him that this would not be acceptable.</w:t>
      </w:r>
      <w:r w:rsidRPr="00A639D8">
        <w:rPr>
          <w:color w:val="000000"/>
        </w:rPr>
        <w:br/>
        <w:t> </w:t>
      </w:r>
      <w:r w:rsidRPr="00A639D8">
        <w:rPr>
          <w:color w:val="000000"/>
        </w:rPr>
        <w:br/>
        <w:t>You are an associate at a law firm, and House comes to you to seek your advice.  Please discuss all possible claims and defenses that will be raised should House bring suit against Badland Coal &amp; Mining Company.</w:t>
      </w:r>
    </w:p>
    <w:p w:rsidR="00A639D8" w:rsidRDefault="00A639D8" w:rsidP="00A639D8">
      <w:pPr>
        <w:pStyle w:val="NormalWeb"/>
        <w:shd w:val="clear" w:color="auto" w:fill="F4F4F4"/>
        <w:spacing w:before="0" w:beforeAutospacing="0" w:after="0" w:afterAutospacing="0"/>
        <w:rPr>
          <w:rFonts w:ascii="Arial" w:hAnsi="Arial" w:cs="Arial"/>
          <w:color w:val="000000"/>
        </w:rPr>
      </w:pPr>
      <w:r>
        <w:rPr>
          <w:rStyle w:val="Strong"/>
          <w:rFonts w:ascii="inherit" w:hAnsi="inherit" w:cs="Arial"/>
          <w:color w:val="000000"/>
          <w:sz w:val="20"/>
          <w:szCs w:val="20"/>
          <w:u w:val="single"/>
          <w:bdr w:val="none" w:sz="0" w:space="0" w:color="auto" w:frame="1"/>
        </w:rPr>
        <w:t>The Memo Assignment is worth 200 points.</w:t>
      </w:r>
    </w:p>
    <w:p w:rsidR="00A639D8" w:rsidRDefault="00A639D8" w:rsidP="00A639D8">
      <w:pPr>
        <w:pStyle w:val="NormalWeb"/>
        <w:shd w:val="clear" w:color="auto" w:fill="F4F4F4"/>
        <w:spacing w:before="0" w:beforeAutospacing="0" w:after="0" w:afterAutospacing="0"/>
        <w:rPr>
          <w:rFonts w:ascii="inherit" w:hAnsi="inherit"/>
          <w:color w:val="000000"/>
          <w:sz w:val="20"/>
          <w:szCs w:val="20"/>
        </w:rPr>
      </w:pPr>
      <w:r>
        <w:rPr>
          <w:rFonts w:ascii="inherit" w:hAnsi="inherit"/>
          <w:i/>
          <w:iCs/>
          <w:color w:val="000000"/>
          <w:u w:val="single"/>
          <w:bdr w:val="none" w:sz="0" w:space="0" w:color="auto" w:frame="1"/>
          <w:shd w:val="clear" w:color="auto" w:fill="FF0000"/>
        </w:rPr>
        <w:t>Please note that this assignment is through Safe Assignment and I will not accept any submissions with a 50% or more Matching Percentage.  </w:t>
      </w:r>
    </w:p>
    <w:p w:rsidR="00A639D8" w:rsidRDefault="00A639D8" w:rsidP="00A639D8">
      <w:pPr>
        <w:pStyle w:val="NormalWeb"/>
        <w:shd w:val="clear" w:color="auto" w:fill="F4F4F4"/>
        <w:spacing w:before="0" w:beforeAutospacing="0" w:after="0" w:afterAutospacing="0"/>
        <w:rPr>
          <w:rFonts w:ascii="inherit" w:hAnsi="inherit"/>
          <w:color w:val="000000"/>
          <w:sz w:val="20"/>
          <w:szCs w:val="20"/>
        </w:rPr>
      </w:pPr>
      <w:r>
        <w:rPr>
          <w:rFonts w:ascii="inherit" w:hAnsi="inherit"/>
          <w:i/>
          <w:iCs/>
          <w:color w:val="000000"/>
          <w:u w:val="single"/>
          <w:bdr w:val="none" w:sz="0" w:space="0" w:color="auto" w:frame="1"/>
          <w:shd w:val="clear" w:color="auto" w:fill="FF0000"/>
        </w:rPr>
        <w:t>If your Matching Percentage is 50% or more you will receive an automatic “F” for the assignment.   This information will then be reported to Dr. Cindy McClenagan and she will handle any further sanctions from the University. </w:t>
      </w:r>
    </w:p>
    <w:p w:rsidR="00A639D8" w:rsidRDefault="00A639D8" w:rsidP="00A639D8">
      <w:pPr>
        <w:pStyle w:val="NormalWeb"/>
        <w:shd w:val="clear" w:color="auto" w:fill="F4F4F4"/>
        <w:spacing w:before="0" w:beforeAutospacing="0" w:after="0" w:afterAutospacing="0"/>
        <w:rPr>
          <w:rFonts w:ascii="inherit" w:hAnsi="inherit"/>
          <w:color w:val="000000"/>
          <w:sz w:val="20"/>
          <w:szCs w:val="20"/>
        </w:rPr>
      </w:pPr>
      <w:r>
        <w:rPr>
          <w:rFonts w:ascii="inherit" w:hAnsi="inherit"/>
          <w:i/>
          <w:iCs/>
          <w:color w:val="000000"/>
          <w:u w:val="single"/>
          <w:bdr w:val="none" w:sz="0" w:space="0" w:color="auto" w:frame="1"/>
          <w:shd w:val="clear" w:color="auto" w:fill="FF0000"/>
        </w:rPr>
        <w:t>Furthermore, there will be a great reduction in your grade for Matching Percentages between 21% and 49%.   </w:t>
      </w:r>
    </w:p>
    <w:p w:rsidR="00A639D8" w:rsidRDefault="00A639D8" w:rsidP="00A639D8">
      <w:pPr>
        <w:pStyle w:val="NormalWeb"/>
        <w:shd w:val="clear" w:color="auto" w:fill="F4F4F4"/>
        <w:spacing w:before="0" w:beforeAutospacing="0" w:after="0" w:afterAutospacing="0"/>
        <w:rPr>
          <w:rFonts w:ascii="inherit" w:hAnsi="inherit"/>
          <w:color w:val="000000"/>
          <w:sz w:val="20"/>
          <w:szCs w:val="20"/>
        </w:rPr>
      </w:pPr>
      <w:r>
        <w:rPr>
          <w:rFonts w:ascii="inherit" w:hAnsi="inherit"/>
          <w:b/>
          <w:bCs/>
          <w:color w:val="000000"/>
          <w:u w:val="single"/>
          <w:bdr w:val="none" w:sz="0" w:space="0" w:color="auto" w:frame="1"/>
          <w:shd w:val="clear" w:color="auto" w:fill="FF0000"/>
        </w:rPr>
        <w:t>The only allowable Matching Percentage is 0 % t o20%.</w:t>
      </w:r>
    </w:p>
    <w:p w:rsidR="00A639D8" w:rsidRDefault="00A639D8" w:rsidP="00A639D8">
      <w:pPr>
        <w:pStyle w:val="NormalWeb"/>
        <w:shd w:val="clear" w:color="auto" w:fill="F4F4F4"/>
        <w:spacing w:before="0" w:beforeAutospacing="0" w:after="240" w:afterAutospacing="0"/>
        <w:rPr>
          <w:rFonts w:ascii="Arial" w:hAnsi="Arial" w:cs="Arial"/>
          <w:color w:val="000000"/>
        </w:rPr>
      </w:pPr>
    </w:p>
    <w:p w:rsidR="00A639D8" w:rsidRPr="00A639D8" w:rsidRDefault="00A639D8" w:rsidP="00A639D8">
      <w:pPr>
        <w:pStyle w:val="NormalWeb"/>
        <w:shd w:val="clear" w:color="auto" w:fill="F4F4F4"/>
        <w:spacing w:before="0" w:beforeAutospacing="0" w:after="0" w:afterAutospacing="0"/>
        <w:rPr>
          <w:color w:val="000000"/>
        </w:rPr>
      </w:pPr>
      <w:r w:rsidRPr="00A639D8">
        <w:rPr>
          <w:color w:val="000000"/>
          <w:bdr w:val="none" w:sz="0" w:space="0" w:color="auto" w:frame="1"/>
        </w:rPr>
        <w:t>This must be submitted in APA format.  Plagiarism shall result in disciplinary action.  Late papers will receive lower grades unless the instructor determines that there is a satisfactory reason for the late receipt.   </w:t>
      </w:r>
      <w:r w:rsidRPr="00A639D8">
        <w:rPr>
          <w:b/>
          <w:bCs/>
          <w:color w:val="000000"/>
          <w:u w:val="single"/>
        </w:rPr>
        <w:t>Papers must be submitted in Times New Roman 12 Point Font.</w:t>
      </w:r>
    </w:p>
    <w:p w:rsidR="004017DE" w:rsidRDefault="004017DE"/>
    <w:sectPr w:rsidR="004017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9D8"/>
    <w:rsid w:val="004017DE"/>
    <w:rsid w:val="009D722E"/>
    <w:rsid w:val="00A63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A1342"/>
  <w15:chartTrackingRefBased/>
  <w15:docId w15:val="{2FD6BBF6-E31C-49AF-B97A-39B2A41F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39D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639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188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1930</Words>
  <Characters>11002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Seterria Anderson</dc:creator>
  <cp:keywords/>
  <dc:description/>
  <cp:lastModifiedBy>Seterria Anderson</cp:lastModifiedBy>
  <cp:revision>2</cp:revision>
  <dcterms:created xsi:type="dcterms:W3CDTF">2020-04-16T05:05:00Z</dcterms:created>
  <dcterms:modified xsi:type="dcterms:W3CDTF">2020-04-23T05:06:00Z</dcterms:modified>
</cp:coreProperties>
</file>